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bookmarkStart w:name="MANUEL  JOSÉ" w:id="1"/>
      <w:bookmarkEnd w:id="1"/>
      <w:r>
        <w:rPr>
          <w:b w:val="0"/>
        </w:rPr>
      </w:r>
      <w:bookmarkStart w:name="CONTABLE" w:id="2"/>
      <w:bookmarkEnd w:id="2"/>
      <w:r>
        <w:rPr>
          <w:b w:val="0"/>
        </w:rPr>
      </w:r>
      <w:bookmarkStart w:name="EXPERIENCIA LABORAL" w:id="3"/>
      <w:bookmarkEnd w:id="3"/>
      <w:r>
        <w:rPr>
          <w:b w:val="0"/>
        </w:rPr>
      </w:r>
      <w:bookmarkStart w:name="Contable Senior" w:id="4"/>
      <w:bookmarkEnd w:id="4"/>
      <w:r>
        <w:rPr>
          <w:b w:val="0"/>
        </w:rPr>
      </w:r>
      <w:bookmarkStart w:name="Contable" w:id="5"/>
      <w:bookmarkEnd w:id="5"/>
      <w:r>
        <w:rPr>
          <w:b w:val="0"/>
        </w:rPr>
      </w:r>
      <w:bookmarkStart w:name="Contable Junior" w:id="6"/>
      <w:bookmarkEnd w:id="6"/>
      <w:r>
        <w:rPr>
          <w:b w:val="0"/>
        </w:rPr>
      </w:r>
      <w:bookmarkStart w:name="EDUCACIÓN" w:id="7"/>
      <w:bookmarkEnd w:id="7"/>
      <w:r>
        <w:rPr>
          <w:b w:val="0"/>
        </w:rPr>
      </w:r>
      <w:bookmarkStart w:name="Maestría en Administración de Empresas (" w:id="8"/>
      <w:bookmarkEnd w:id="8"/>
      <w:r>
        <w:rPr>
          <w:b w:val="0"/>
        </w:rPr>
      </w:r>
      <w:bookmarkStart w:name="Bachelor of Arts Accounting" w:id="9"/>
      <w:bookmarkEnd w:id="9"/>
      <w:r>
        <w:rPr>
          <w:b w:val="0"/>
        </w:rPr>
      </w:r>
      <w:bookmarkStart w:name="HABILIDADES" w:id="10"/>
      <w:bookmarkEnd w:id="10"/>
      <w:r>
        <w:rPr>
          <w:b w:val="0"/>
        </w:rPr>
      </w:r>
      <w:bookmarkStart w:name="Personales" w:id="11"/>
      <w:bookmarkEnd w:id="11"/>
      <w:r>
        <w:rPr>
          <w:b w:val="0"/>
        </w:rPr>
      </w:r>
      <w:bookmarkStart w:name="Profesionales" w:id="12"/>
      <w:bookmarkEnd w:id="12"/>
      <w:r>
        <w:rPr>
          <w:b w:val="0"/>
        </w:rPr>
      </w:r>
      <w:r>
        <w:rPr>
          <w:color w:val="333333"/>
          <w:spacing w:val="40"/>
          <w:w w:val="90"/>
        </w:rPr>
        <w:t>MANUEL </w:t>
      </w:r>
      <w:r>
        <w:rPr>
          <w:color w:val="333333"/>
          <w:spacing w:val="34"/>
        </w:rPr>
        <w:t>JOSÉ</w:t>
      </w:r>
    </w:p>
    <w:p>
      <w:pPr>
        <w:spacing w:before="209"/>
        <w:ind w:left="57" w:right="0" w:firstLine="0"/>
        <w:jc w:val="left"/>
        <w:rPr>
          <w:sz w:val="28"/>
        </w:rPr>
      </w:pPr>
      <w:r>
        <w:rPr>
          <w:color w:val="696969"/>
          <w:spacing w:val="-2"/>
          <w:sz w:val="28"/>
        </w:rPr>
        <w:t>CONTABLE</w:t>
      </w:r>
    </w:p>
    <w:p>
      <w:pPr>
        <w:pStyle w:val="BodyText"/>
        <w:spacing w:before="97"/>
        <w:ind w:left="0"/>
      </w:pPr>
      <w:r>
        <w:rPr/>
        <w:br w:type="column"/>
      </w:r>
      <w:r>
        <w:rPr/>
      </w:r>
    </w:p>
    <w:p>
      <w:pPr>
        <w:pStyle w:val="BodyText"/>
        <w:spacing w:before="1"/>
      </w:pPr>
      <w:r>
        <w:rPr>
          <w:color w:val="454A41"/>
          <w:w w:val="85"/>
        </w:rPr>
        <w:t>+34</w:t>
      </w:r>
      <w:r>
        <w:rPr>
          <w:color w:val="454A41"/>
          <w:spacing w:val="-5"/>
          <w:w w:val="85"/>
        </w:rPr>
        <w:t> </w:t>
      </w:r>
      <w:r>
        <w:rPr>
          <w:color w:val="454A41"/>
          <w:w w:val="85"/>
        </w:rPr>
        <w:t>916</w:t>
      </w:r>
      <w:r>
        <w:rPr>
          <w:color w:val="454A41"/>
          <w:spacing w:val="-4"/>
          <w:w w:val="85"/>
        </w:rPr>
        <w:t> </w:t>
      </w:r>
      <w:r>
        <w:rPr>
          <w:color w:val="454A41"/>
          <w:w w:val="85"/>
        </w:rPr>
        <w:t>123</w:t>
      </w:r>
      <w:r>
        <w:rPr>
          <w:color w:val="454A41"/>
          <w:spacing w:val="-4"/>
          <w:w w:val="85"/>
        </w:rPr>
        <w:t> </w:t>
      </w:r>
      <w:r>
        <w:rPr>
          <w:color w:val="454A41"/>
          <w:spacing w:val="-5"/>
          <w:w w:val="85"/>
        </w:rPr>
        <w:t>456</w:t>
      </w:r>
    </w:p>
    <w:p>
      <w:pPr>
        <w:pStyle w:val="BodyText"/>
        <w:spacing w:before="11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4578681</wp:posOffset>
            </wp:positionH>
            <wp:positionV relativeFrom="paragraph">
              <wp:posOffset>-153498</wp:posOffset>
            </wp:positionV>
            <wp:extent cx="124318" cy="12431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18" cy="124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4572492</wp:posOffset>
            </wp:positionH>
            <wp:positionV relativeFrom="paragraph">
              <wp:posOffset>135535</wp:posOffset>
            </wp:positionV>
            <wp:extent cx="136727" cy="10481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27" cy="104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54A41"/>
            <w:spacing w:val="-2"/>
          </w:rPr>
          <w:t>m.napolitani@TechGuruPlus.es</w:t>
        </w:r>
      </w:hyperlink>
    </w:p>
    <w:p>
      <w:pPr>
        <w:pStyle w:val="BodyText"/>
        <w:spacing w:line="328" w:lineRule="auto" w:before="113"/>
        <w:ind w:right="89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4587694</wp:posOffset>
            </wp:positionH>
            <wp:positionV relativeFrom="paragraph">
              <wp:posOffset>118468</wp:posOffset>
            </wp:positionV>
            <wp:extent cx="106298" cy="13185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98" cy="131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4580681</wp:posOffset>
            </wp:positionH>
            <wp:positionV relativeFrom="paragraph">
              <wp:posOffset>376846</wp:posOffset>
            </wp:positionV>
            <wp:extent cx="120298" cy="12021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298" cy="12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54A41"/>
        </w:rPr>
        <w:t>Calle</w:t>
      </w:r>
      <w:r>
        <w:rPr>
          <w:color w:val="454A41"/>
          <w:spacing w:val="-18"/>
        </w:rPr>
        <w:t> </w:t>
      </w:r>
      <w:r>
        <w:rPr>
          <w:color w:val="454A41"/>
        </w:rPr>
        <w:t>de</w:t>
      </w:r>
      <w:r>
        <w:rPr>
          <w:color w:val="454A41"/>
          <w:spacing w:val="-18"/>
        </w:rPr>
        <w:t> </w:t>
      </w:r>
      <w:r>
        <w:rPr>
          <w:color w:val="454A41"/>
        </w:rPr>
        <w:t>Velázquez</w:t>
      </w:r>
      <w:r>
        <w:rPr>
          <w:color w:val="454A41"/>
          <w:spacing w:val="-18"/>
        </w:rPr>
        <w:t> </w:t>
      </w:r>
      <w:r>
        <w:rPr>
          <w:color w:val="454A41"/>
        </w:rPr>
        <w:t>32,</w:t>
      </w:r>
      <w:r>
        <w:rPr>
          <w:color w:val="454A41"/>
          <w:spacing w:val="-18"/>
        </w:rPr>
        <w:t> </w:t>
      </w:r>
      <w:r>
        <w:rPr>
          <w:color w:val="454A41"/>
        </w:rPr>
        <w:t>Madrid,</w:t>
      </w:r>
      <w:r>
        <w:rPr>
          <w:color w:val="454A41"/>
          <w:spacing w:val="-18"/>
        </w:rPr>
        <w:t> </w:t>
      </w:r>
      <w:r>
        <w:rPr>
          <w:color w:val="454A41"/>
        </w:rPr>
        <w:t>España </w:t>
      </w:r>
      <w:hyperlink r:id="rId10">
        <w:r>
          <w:rPr>
            <w:color w:val="454A41"/>
            <w:spacing w:val="-2"/>
          </w:rPr>
          <w:t>www.TechGuruPlus.es</w:t>
        </w:r>
      </w:hyperlink>
    </w:p>
    <w:p>
      <w:pPr>
        <w:pStyle w:val="BodyText"/>
        <w:spacing w:after="0" w:line="328" w:lineRule="auto"/>
        <w:sectPr>
          <w:type w:val="continuous"/>
          <w:pgSz w:w="11910" w:h="16850"/>
          <w:pgMar w:top="1000" w:bottom="280" w:left="1133" w:right="566"/>
          <w:cols w:num="2" w:equalWidth="0">
            <w:col w:w="2876" w:space="3493"/>
            <w:col w:w="3842"/>
          </w:cols>
        </w:sectPr>
      </w:pPr>
    </w:p>
    <w:p>
      <w:pPr>
        <w:pStyle w:val="BodyText"/>
        <w:ind w:left="0"/>
      </w:pPr>
    </w:p>
    <w:p>
      <w:pPr>
        <w:pStyle w:val="BodyText"/>
        <w:spacing w:before="99"/>
        <w:ind w:left="0"/>
      </w:pPr>
    </w:p>
    <w:p>
      <w:pPr>
        <w:spacing w:line="240" w:lineRule="auto"/>
        <w:ind w:left="3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76315" cy="41211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6076315" cy="412115"/>
                        </a:xfrm>
                        <a:prstGeom prst="rect">
                          <a:avLst/>
                        </a:prstGeom>
                        <a:solidFill>
                          <a:srgbClr val="333333"/>
                        </a:solidFill>
                      </wps:spPr>
                      <wps:txbx>
                        <w:txbxContent>
                          <w:p>
                            <w:pPr>
                              <w:spacing w:before="162"/>
                              <w:ind w:left="13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20"/>
                                <w:w w:val="85"/>
                                <w:sz w:val="28"/>
                              </w:rPr>
                              <w:t>EXPERIENCIA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42"/>
                                <w:w w:val="15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4"/>
                                <w:sz w:val="28"/>
                              </w:rPr>
                              <w:t>LABORAL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78.45pt;height:32.4500pt;mso-position-horizontal-relative:char;mso-position-vertical-relative:line" type="#_x0000_t202" id="docshape1" filled="true" fillcolor="#333333" stroked="false">
                <w10:anchorlock/>
                <v:textbox inset="0,0,0,0">
                  <w:txbxContent>
                    <w:p>
                      <w:pPr>
                        <w:spacing w:before="162"/>
                        <w:ind w:left="13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20"/>
                          <w:w w:val="85"/>
                          <w:sz w:val="28"/>
                        </w:rPr>
                        <w:t>EXPERIENCIA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42"/>
                          <w:w w:val="150"/>
                          <w:sz w:val="28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4"/>
                          <w:sz w:val="28"/>
                        </w:rPr>
                        <w:t>LABORAL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1000" w:bottom="280" w:left="1133" w:right="566"/>
        </w:sectPr>
      </w:pPr>
    </w:p>
    <w:p>
      <w:pPr>
        <w:pStyle w:val="BodyText"/>
        <w:spacing w:line="211" w:lineRule="auto" w:before="150"/>
      </w:pPr>
      <w:r>
        <w:rPr>
          <w:color w:val="696969"/>
          <w:spacing w:val="-2"/>
        </w:rPr>
        <w:t>Compañía</w:t>
      </w:r>
      <w:r>
        <w:rPr>
          <w:color w:val="696969"/>
          <w:spacing w:val="-18"/>
        </w:rPr>
        <w:t> </w:t>
      </w:r>
      <w:r>
        <w:rPr>
          <w:color w:val="696969"/>
          <w:spacing w:val="-2"/>
        </w:rPr>
        <w:t>Ingoude </w:t>
      </w:r>
      <w:r>
        <w:rPr>
          <w:color w:val="696969"/>
          <w:w w:val="105"/>
        </w:rPr>
        <w:t>2019 – Presente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0"/>
        <w:ind w:left="0"/>
      </w:pPr>
    </w:p>
    <w:p>
      <w:pPr>
        <w:pStyle w:val="BodyText"/>
        <w:spacing w:line="211" w:lineRule="auto"/>
      </w:pPr>
      <w:r>
        <w:rPr>
          <w:color w:val="696969"/>
          <w:spacing w:val="-2"/>
        </w:rPr>
        <w:t>Compañía</w:t>
      </w:r>
      <w:r>
        <w:rPr>
          <w:color w:val="696969"/>
          <w:spacing w:val="-18"/>
        </w:rPr>
        <w:t> </w:t>
      </w:r>
      <w:r>
        <w:rPr>
          <w:color w:val="696969"/>
          <w:spacing w:val="-2"/>
        </w:rPr>
        <w:t>Ingoude </w:t>
      </w:r>
      <w:r>
        <w:rPr>
          <w:color w:val="696969"/>
          <w:w w:val="105"/>
        </w:rPr>
        <w:t>2019 – Presente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4"/>
        <w:ind w:left="0"/>
      </w:pPr>
    </w:p>
    <w:p>
      <w:pPr>
        <w:pStyle w:val="BodyText"/>
        <w:spacing w:line="211" w:lineRule="auto"/>
      </w:pPr>
      <w:r>
        <w:rPr>
          <w:color w:val="696969"/>
          <w:spacing w:val="-2"/>
        </w:rPr>
        <w:t>Compañía</w:t>
      </w:r>
      <w:r>
        <w:rPr>
          <w:color w:val="696969"/>
          <w:spacing w:val="-18"/>
        </w:rPr>
        <w:t> </w:t>
      </w:r>
      <w:r>
        <w:rPr>
          <w:color w:val="696969"/>
          <w:spacing w:val="-2"/>
        </w:rPr>
        <w:t>Ingoude </w:t>
      </w:r>
      <w:r>
        <w:rPr>
          <w:color w:val="696969"/>
          <w:w w:val="105"/>
        </w:rPr>
        <w:t>2019 – Presente</w:t>
      </w:r>
    </w:p>
    <w:p>
      <w:pPr>
        <w:pStyle w:val="Heading3"/>
        <w:spacing w:before="143"/>
      </w:pPr>
      <w:r>
        <w:rPr>
          <w:b w:val="0"/>
        </w:rPr>
        <w:br w:type="column"/>
      </w:r>
      <w:r>
        <w:rPr>
          <w:color w:val="333333"/>
          <w:spacing w:val="-2"/>
        </w:rPr>
        <w:t>Contable</w:t>
      </w:r>
      <w:r>
        <w:rPr>
          <w:color w:val="333333"/>
          <w:spacing w:val="-12"/>
        </w:rPr>
        <w:t> </w:t>
      </w:r>
      <w:r>
        <w:rPr>
          <w:color w:val="333333"/>
          <w:spacing w:val="-2"/>
        </w:rPr>
        <w:t>Senior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163" w:after="0"/>
        <w:ind w:left="57" w:right="1259" w:firstLine="0"/>
        <w:jc w:val="left"/>
        <w:rPr>
          <w:sz w:val="20"/>
        </w:rPr>
      </w:pPr>
      <w:r>
        <w:rPr>
          <w:color w:val="696969"/>
          <w:sz w:val="20"/>
        </w:rPr>
        <w:t>Supervisar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la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exactitud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de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los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informes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financieros</w:t>
      </w:r>
      <w:r>
        <w:rPr>
          <w:color w:val="696969"/>
          <w:spacing w:val="-2"/>
          <w:sz w:val="20"/>
        </w:rPr>
        <w:t> </w:t>
      </w:r>
      <w:r>
        <w:rPr>
          <w:color w:val="696969"/>
          <w:sz w:val="20"/>
        </w:rPr>
        <w:t>corporativos, gestionar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los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cierres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contables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mensuales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y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coordinar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las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auditorías </w:t>
      </w:r>
      <w:r>
        <w:rPr>
          <w:color w:val="696969"/>
          <w:spacing w:val="-2"/>
          <w:sz w:val="20"/>
        </w:rPr>
        <w:t>anuales.</w:t>
      </w:r>
    </w:p>
    <w:p>
      <w:pPr>
        <w:pStyle w:val="Heading3"/>
        <w:spacing w:before="243"/>
      </w:pPr>
      <w:r>
        <w:rPr>
          <w:color w:val="333333"/>
          <w:spacing w:val="-2"/>
        </w:rPr>
        <w:t>Contable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163" w:after="0"/>
        <w:ind w:left="57" w:right="119" w:firstLine="0"/>
        <w:jc w:val="left"/>
        <w:rPr>
          <w:sz w:val="20"/>
        </w:rPr>
      </w:pPr>
      <w:r>
        <w:rPr>
          <w:color w:val="696969"/>
          <w:sz w:val="20"/>
        </w:rPr>
        <w:t>Gestionar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el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libro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mayor,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realizar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conciliaciones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bancarias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diarias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y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asegurar</w:t>
      </w:r>
      <w:r>
        <w:rPr>
          <w:color w:val="696969"/>
          <w:spacing w:val="-17"/>
          <w:sz w:val="20"/>
        </w:rPr>
        <w:t> </w:t>
      </w:r>
      <w:r>
        <w:rPr>
          <w:color w:val="696969"/>
          <w:sz w:val="20"/>
        </w:rPr>
        <w:t>el cumplimiento de las normativas contables e impositivas.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0" w:after="0"/>
        <w:ind w:left="57" w:right="21" w:firstLine="0"/>
        <w:jc w:val="left"/>
        <w:rPr>
          <w:sz w:val="20"/>
        </w:rPr>
      </w:pPr>
      <w:r>
        <w:rPr>
          <w:color w:val="696969"/>
          <w:sz w:val="20"/>
        </w:rPr>
        <w:t>Preparar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las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declaraciones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periódicas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de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impuestos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(IVA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e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IRPF)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y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supervisar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las transacciones</w:t>
      </w:r>
      <w:r>
        <w:rPr>
          <w:color w:val="696969"/>
          <w:spacing w:val="-13"/>
          <w:sz w:val="20"/>
        </w:rPr>
        <w:t> </w:t>
      </w:r>
      <w:r>
        <w:rPr>
          <w:color w:val="696969"/>
          <w:sz w:val="20"/>
        </w:rPr>
        <w:t>comerciales.</w:t>
      </w:r>
    </w:p>
    <w:p>
      <w:pPr>
        <w:pStyle w:val="Heading3"/>
        <w:spacing w:before="43"/>
      </w:pPr>
      <w:r>
        <w:rPr>
          <w:color w:val="333333"/>
          <w:spacing w:val="-2"/>
        </w:rPr>
        <w:t>Contable</w:t>
      </w:r>
      <w:r>
        <w:rPr>
          <w:color w:val="333333"/>
          <w:spacing w:val="-12"/>
        </w:rPr>
        <w:t> </w:t>
      </w:r>
      <w:r>
        <w:rPr>
          <w:color w:val="333333"/>
          <w:spacing w:val="-2"/>
        </w:rPr>
        <w:t>Junior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87" w:after="0"/>
        <w:ind w:left="57" w:right="959" w:firstLine="0"/>
        <w:jc w:val="left"/>
        <w:rPr>
          <w:sz w:val="20"/>
        </w:rPr>
      </w:pPr>
      <w:r>
        <w:rPr>
          <w:color w:val="696969"/>
          <w:sz w:val="20"/>
        </w:rPr>
        <w:t>Registrar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los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asientos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diarios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de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la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empresa,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gestionar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las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cuentas</w:t>
      </w:r>
      <w:r>
        <w:rPr>
          <w:color w:val="696969"/>
          <w:spacing w:val="-18"/>
          <w:sz w:val="20"/>
        </w:rPr>
        <w:t> </w:t>
      </w:r>
      <w:r>
        <w:rPr>
          <w:color w:val="696969"/>
          <w:sz w:val="20"/>
        </w:rPr>
        <w:t>por pagar y por cobrar, y archivar la documentación financiera oficial.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0" w:after="0"/>
        <w:ind w:left="57" w:right="1304" w:firstLine="46"/>
        <w:jc w:val="left"/>
        <w:rPr>
          <w:sz w:val="20"/>
        </w:rPr>
      </w:pPr>
      <w:r>
        <w:rPr>
          <w:color w:val="696969"/>
          <w:sz w:val="20"/>
        </w:rPr>
        <w:t>Apoyar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al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equipo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senior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en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la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preparación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de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balances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de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sumas</w:t>
      </w:r>
      <w:r>
        <w:rPr>
          <w:color w:val="696969"/>
          <w:spacing w:val="-14"/>
          <w:sz w:val="20"/>
        </w:rPr>
        <w:t> </w:t>
      </w:r>
      <w:r>
        <w:rPr>
          <w:color w:val="696969"/>
          <w:sz w:val="20"/>
        </w:rPr>
        <w:t>y </w:t>
      </w:r>
      <w:r>
        <w:rPr>
          <w:color w:val="696969"/>
          <w:spacing w:val="-2"/>
          <w:sz w:val="20"/>
        </w:rPr>
        <w:t>saldos.</w:t>
      </w:r>
    </w:p>
    <w:p>
      <w:pPr>
        <w:pStyle w:val="ListParagraph"/>
        <w:spacing w:after="0" w:line="211" w:lineRule="auto"/>
        <w:jc w:val="left"/>
        <w:rPr>
          <w:sz w:val="20"/>
        </w:rPr>
        <w:sectPr>
          <w:type w:val="continuous"/>
          <w:pgSz w:w="11910" w:h="16850"/>
          <w:pgMar w:top="1000" w:bottom="280" w:left="1133" w:right="566"/>
          <w:cols w:num="2" w:equalWidth="0">
            <w:col w:w="1877" w:space="540"/>
            <w:col w:w="7794"/>
          </w:cols>
        </w:sectPr>
      </w:pPr>
    </w:p>
    <w:p>
      <w:pPr>
        <w:spacing w:line="240" w:lineRule="auto"/>
        <w:ind w:left="3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76315" cy="412115"/>
                <wp:effectExtent l="0" t="0" r="0" b="0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6076315" cy="412115"/>
                        </a:xfrm>
                        <a:prstGeom prst="rect">
                          <a:avLst/>
                        </a:prstGeom>
                        <a:solidFill>
                          <a:srgbClr val="333333"/>
                        </a:solidFill>
                      </wps:spPr>
                      <wps:txbx>
                        <w:txbxContent>
                          <w:p>
                            <w:pPr>
                              <w:spacing w:before="181"/>
                              <w:ind w:left="132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FFFFFF"/>
                                <w:spacing w:val="15"/>
                                <w:sz w:val="28"/>
                              </w:rPr>
                              <w:t>EDUCACIÓN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78.45pt;height:32.4500pt;mso-position-horizontal-relative:char;mso-position-vertical-relative:line" type="#_x0000_t202" id="docshape2" filled="true" fillcolor="#333333" stroked="false">
                <w10:anchorlock/>
                <v:textbox inset="0,0,0,0">
                  <w:txbxContent>
                    <w:p>
                      <w:pPr>
                        <w:spacing w:before="181"/>
                        <w:ind w:left="132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FFFFFF"/>
                          <w:spacing w:val="15"/>
                          <w:sz w:val="28"/>
                        </w:rPr>
                        <w:t>EDUCACIÓN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ind w:left="0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top="1000" w:bottom="280" w:left="1133" w:right="566"/>
        </w:sectPr>
      </w:pPr>
    </w:p>
    <w:p>
      <w:pPr>
        <w:pStyle w:val="BodyText"/>
        <w:spacing w:line="211" w:lineRule="auto" w:before="118"/>
        <w:ind w:right="-10"/>
      </w:pPr>
      <w:r>
        <w:rPr>
          <w:color w:val="696969"/>
        </w:rPr>
        <w:t>Universidad</w:t>
      </w:r>
      <w:r>
        <w:rPr>
          <w:color w:val="696969"/>
          <w:spacing w:val="-13"/>
        </w:rPr>
        <w:t> </w:t>
      </w:r>
      <w:r>
        <w:rPr>
          <w:color w:val="696969"/>
        </w:rPr>
        <w:t>de </w:t>
      </w:r>
      <w:r>
        <w:rPr>
          <w:color w:val="696969"/>
          <w:spacing w:val="-6"/>
        </w:rPr>
        <w:t>Rimberio</w:t>
      </w:r>
      <w:r>
        <w:rPr>
          <w:color w:val="696969"/>
          <w:spacing w:val="-18"/>
        </w:rPr>
        <w:t> </w:t>
      </w:r>
      <w:r>
        <w:rPr>
          <w:color w:val="696969"/>
          <w:spacing w:val="-6"/>
        </w:rPr>
        <w:t>2010</w:t>
      </w:r>
      <w:r>
        <w:rPr>
          <w:color w:val="696969"/>
          <w:spacing w:val="-18"/>
        </w:rPr>
        <w:t> </w:t>
      </w:r>
      <w:r>
        <w:rPr>
          <w:color w:val="696969"/>
          <w:spacing w:val="-6"/>
        </w:rPr>
        <w:t>–</w:t>
      </w:r>
      <w:r>
        <w:rPr>
          <w:color w:val="696969"/>
          <w:spacing w:val="-18"/>
        </w:rPr>
        <w:t> </w:t>
      </w:r>
      <w:r>
        <w:rPr>
          <w:color w:val="696969"/>
          <w:spacing w:val="-6"/>
        </w:rPr>
        <w:t>2014</w:t>
      </w:r>
    </w:p>
    <w:p>
      <w:pPr>
        <w:pStyle w:val="BodyText"/>
        <w:ind w:left="0"/>
      </w:pPr>
    </w:p>
    <w:p>
      <w:pPr>
        <w:pStyle w:val="BodyText"/>
        <w:spacing w:before="51"/>
        <w:ind w:left="0"/>
      </w:pPr>
    </w:p>
    <w:p>
      <w:pPr>
        <w:pStyle w:val="BodyText"/>
        <w:spacing w:line="211" w:lineRule="auto" w:before="1"/>
        <w:ind w:right="-10"/>
      </w:pPr>
      <w:r>
        <w:rPr>
          <w:color w:val="696969"/>
        </w:rPr>
        <w:t>Universidad</w:t>
      </w:r>
      <w:r>
        <w:rPr>
          <w:color w:val="696969"/>
          <w:spacing w:val="-13"/>
        </w:rPr>
        <w:t> </w:t>
      </w:r>
      <w:r>
        <w:rPr>
          <w:color w:val="696969"/>
        </w:rPr>
        <w:t>de </w:t>
      </w:r>
      <w:r>
        <w:rPr>
          <w:color w:val="696969"/>
          <w:spacing w:val="-4"/>
        </w:rPr>
        <w:t>Borcelle</w:t>
      </w:r>
      <w:r>
        <w:rPr>
          <w:color w:val="696969"/>
          <w:spacing w:val="-18"/>
        </w:rPr>
        <w:t> </w:t>
      </w:r>
      <w:r>
        <w:rPr>
          <w:color w:val="696969"/>
          <w:spacing w:val="-4"/>
        </w:rPr>
        <w:t>2008</w:t>
      </w:r>
      <w:r>
        <w:rPr>
          <w:color w:val="696969"/>
          <w:spacing w:val="-18"/>
        </w:rPr>
        <w:t> </w:t>
      </w:r>
      <w:r>
        <w:rPr>
          <w:color w:val="696969"/>
          <w:spacing w:val="-4"/>
        </w:rPr>
        <w:t>–</w:t>
      </w:r>
      <w:r>
        <w:rPr>
          <w:color w:val="696969"/>
          <w:spacing w:val="-18"/>
        </w:rPr>
        <w:t> </w:t>
      </w:r>
      <w:r>
        <w:rPr>
          <w:color w:val="696969"/>
          <w:spacing w:val="-4"/>
        </w:rPr>
        <w:t>2011</w:t>
      </w:r>
    </w:p>
    <w:p>
      <w:pPr>
        <w:pStyle w:val="Heading3"/>
        <w:spacing w:line="204" w:lineRule="auto" w:before="144"/>
      </w:pPr>
      <w:r>
        <w:rPr>
          <w:b w:val="0"/>
        </w:rPr>
        <w:br w:type="column"/>
      </w:r>
      <w:r>
        <w:rPr>
          <w:color w:val="333333"/>
          <w:spacing w:val="-4"/>
        </w:rPr>
        <w:t>Maestría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en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Administración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de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Empresas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(MBA)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con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mención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en </w:t>
      </w:r>
      <w:r>
        <w:rPr>
          <w:color w:val="333333"/>
          <w:spacing w:val="-2"/>
        </w:rPr>
        <w:t>Contabilidad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65" w:after="0"/>
        <w:ind w:left="57" w:right="1297" w:firstLine="0"/>
        <w:jc w:val="left"/>
        <w:rPr>
          <w:sz w:val="20"/>
        </w:rPr>
      </w:pPr>
      <w:r>
        <w:rPr>
          <w:color w:val="696969"/>
          <w:sz w:val="20"/>
        </w:rPr>
        <w:t>Programa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enfocado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en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la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gestión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financiera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avanzada,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análisis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de riesgos, auditoría corporativa y toma de decisiones estratégicas.</w:t>
      </w:r>
    </w:p>
    <w:p>
      <w:pPr>
        <w:pStyle w:val="Heading3"/>
        <w:spacing w:before="117"/>
      </w:pPr>
      <w:r>
        <w:rPr>
          <w:color w:val="333333"/>
          <w:spacing w:val="-4"/>
        </w:rPr>
        <w:t>Bachelor</w:t>
      </w:r>
      <w:r>
        <w:rPr>
          <w:color w:val="333333"/>
          <w:spacing w:val="-14"/>
        </w:rPr>
        <w:t> </w:t>
      </w:r>
      <w:r>
        <w:rPr>
          <w:color w:val="333333"/>
          <w:spacing w:val="-4"/>
        </w:rPr>
        <w:t>of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Arts</w:t>
      </w:r>
      <w:r>
        <w:rPr>
          <w:color w:val="333333"/>
          <w:spacing w:val="-13"/>
        </w:rPr>
        <w:t> </w:t>
      </w:r>
      <w:r>
        <w:rPr>
          <w:color w:val="333333"/>
          <w:spacing w:val="-4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11" w:lineRule="auto" w:before="163" w:after="0"/>
        <w:ind w:left="57" w:right="1096" w:firstLine="0"/>
        <w:jc w:val="left"/>
        <w:rPr>
          <w:sz w:val="20"/>
        </w:rPr>
      </w:pPr>
      <w:r>
        <w:rPr>
          <w:color w:val="696969"/>
          <w:sz w:val="20"/>
        </w:rPr>
        <w:t>Formación integral en principios de contabilidad general, finanzas aplicadas,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derecho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mercantil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y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estructuras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fiscales</w:t>
      </w:r>
      <w:r>
        <w:rPr>
          <w:color w:val="696969"/>
          <w:spacing w:val="-8"/>
          <w:sz w:val="20"/>
        </w:rPr>
        <w:t> </w:t>
      </w:r>
      <w:r>
        <w:rPr>
          <w:color w:val="696969"/>
          <w:sz w:val="20"/>
        </w:rPr>
        <w:t>organizacionales.</w:t>
      </w:r>
    </w:p>
    <w:p>
      <w:pPr>
        <w:pStyle w:val="ListParagraph"/>
        <w:spacing w:after="0" w:line="211" w:lineRule="auto"/>
        <w:jc w:val="left"/>
        <w:rPr>
          <w:sz w:val="20"/>
        </w:rPr>
        <w:sectPr>
          <w:type w:val="continuous"/>
          <w:pgSz w:w="11910" w:h="16850"/>
          <w:pgMar w:top="1000" w:bottom="280" w:left="1133" w:right="566"/>
          <w:cols w:num="2" w:equalWidth="0">
            <w:col w:w="2084" w:space="333"/>
            <w:col w:w="7794"/>
          </w:cols>
        </w:sectPr>
      </w:pPr>
    </w:p>
    <w:p>
      <w:pPr>
        <w:pStyle w:val="BodyText"/>
        <w:spacing w:before="78"/>
        <w:ind w:left="0"/>
      </w:pPr>
    </w:p>
    <w:p>
      <w:pPr>
        <w:pStyle w:val="BodyText"/>
        <w:spacing w:after="0"/>
        <w:sectPr>
          <w:type w:val="continuous"/>
          <w:pgSz w:w="11910" w:h="16850"/>
          <w:pgMar w:top="1000" w:bottom="280" w:left="1133" w:right="566"/>
        </w:sectPr>
      </w:pPr>
    </w:p>
    <w:p>
      <w:pPr>
        <w:pStyle w:val="Heading2"/>
        <w:ind w:left="37"/>
      </w:pPr>
      <w:r>
        <w:rPr>
          <w:rFonts w:ascii="Times New Roman"/>
          <w:b w:val="0"/>
          <w:color w:val="FFFFFF"/>
          <w:spacing w:val="62"/>
          <w:shd w:fill="333333" w:color="auto" w:val="clear"/>
        </w:rPr>
        <w:t> </w:t>
      </w:r>
      <w:r>
        <w:rPr>
          <w:color w:val="FFFFFF"/>
          <w:spacing w:val="18"/>
          <w:w w:val="90"/>
          <w:shd w:fill="333333" w:color="auto" w:val="clear"/>
        </w:rPr>
        <w:t>HABILIDADES</w:t>
      </w:r>
      <w:r>
        <w:rPr>
          <w:color w:val="FFFFFF"/>
          <w:spacing w:val="80"/>
          <w:shd w:fill="333333" w:color="auto" w:val="clear"/>
        </w:rPr>
        <w:t> </w:t>
      </w:r>
    </w:p>
    <w:p>
      <w:pPr>
        <w:pStyle w:val="Heading3"/>
        <w:ind w:left="37"/>
      </w:pPr>
      <w:r>
        <w:rPr>
          <w:b w:val="0"/>
        </w:rPr>
        <w:br w:type="column"/>
      </w:r>
      <w:r>
        <w:rPr>
          <w:color w:val="333333"/>
          <w:spacing w:val="-2"/>
        </w:rPr>
        <w:t>Personales</w:t>
      </w:r>
    </w:p>
    <w:p>
      <w:pPr>
        <w:pStyle w:val="BodyText"/>
        <w:spacing w:line="247" w:lineRule="auto" w:before="132"/>
        <w:ind w:left="37"/>
      </w:pPr>
      <w:r>
        <w:rPr>
          <w:color w:val="696969"/>
          <w:spacing w:val="-2"/>
        </w:rPr>
        <w:t>Habilidades</w:t>
      </w:r>
      <w:r>
        <w:rPr>
          <w:color w:val="696969"/>
          <w:spacing w:val="-18"/>
        </w:rPr>
        <w:t> </w:t>
      </w:r>
      <w:r>
        <w:rPr>
          <w:color w:val="696969"/>
          <w:spacing w:val="-2"/>
        </w:rPr>
        <w:t>de</w:t>
      </w:r>
      <w:r>
        <w:rPr>
          <w:color w:val="696969"/>
          <w:spacing w:val="-18"/>
        </w:rPr>
        <w:t> </w:t>
      </w:r>
      <w:r>
        <w:rPr>
          <w:color w:val="696969"/>
          <w:spacing w:val="-2"/>
        </w:rPr>
        <w:t>Gestión </w:t>
      </w:r>
      <w:r>
        <w:rPr>
          <w:color w:val="696969"/>
        </w:rPr>
        <w:t>Gestión del Tiempo </w:t>
      </w:r>
      <w:r>
        <w:rPr>
          <w:color w:val="696969"/>
          <w:spacing w:val="-2"/>
        </w:rPr>
        <w:t>Negociación Pensamiento</w:t>
      </w:r>
    </w:p>
    <w:p>
      <w:pPr>
        <w:pStyle w:val="Heading3"/>
        <w:ind w:left="37"/>
      </w:pPr>
      <w:r>
        <w:rPr>
          <w:b w:val="0"/>
        </w:rPr>
        <w:br w:type="column"/>
      </w:r>
      <w:r>
        <w:rPr>
          <w:color w:val="333333"/>
          <w:spacing w:val="-2"/>
        </w:rPr>
        <w:t>Profesionales</w:t>
      </w:r>
    </w:p>
    <w:p>
      <w:pPr>
        <w:pStyle w:val="ListParagraph"/>
        <w:numPr>
          <w:ilvl w:val="0"/>
          <w:numId w:val="1"/>
        </w:numPr>
        <w:tabs>
          <w:tab w:pos="160" w:val="left" w:leader="none"/>
        </w:tabs>
        <w:spacing w:line="240" w:lineRule="auto" w:before="132" w:after="0"/>
        <w:ind w:left="160" w:right="0" w:hanging="123"/>
        <w:jc w:val="left"/>
        <w:rPr>
          <w:sz w:val="20"/>
        </w:rPr>
      </w:pPr>
      <w:r>
        <w:rPr>
          <w:color w:val="696969"/>
          <w:spacing w:val="-2"/>
          <w:sz w:val="20"/>
        </w:rPr>
        <w:t>Contabilidad</w:t>
      </w:r>
      <w:r>
        <w:rPr>
          <w:color w:val="696969"/>
          <w:spacing w:val="4"/>
          <w:sz w:val="20"/>
        </w:rPr>
        <w:t> </w:t>
      </w:r>
      <w:r>
        <w:rPr>
          <w:color w:val="696969"/>
          <w:spacing w:val="-2"/>
          <w:sz w:val="20"/>
        </w:rPr>
        <w:t>Financiera</w:t>
      </w:r>
    </w:p>
    <w:p>
      <w:pPr>
        <w:pStyle w:val="ListParagraph"/>
        <w:numPr>
          <w:ilvl w:val="0"/>
          <w:numId w:val="1"/>
        </w:numPr>
        <w:tabs>
          <w:tab w:pos="206" w:val="left" w:leader="none"/>
        </w:tabs>
        <w:spacing w:line="240" w:lineRule="auto" w:before="7" w:after="0"/>
        <w:ind w:left="206" w:right="0" w:hanging="123"/>
        <w:jc w:val="left"/>
        <w:rPr>
          <w:sz w:val="20"/>
        </w:rPr>
      </w:pPr>
      <w:r>
        <w:rPr>
          <w:color w:val="696969"/>
          <w:spacing w:val="-2"/>
          <w:sz w:val="20"/>
        </w:rPr>
        <w:t>Contabilidad</w:t>
      </w:r>
      <w:r>
        <w:rPr>
          <w:color w:val="696969"/>
          <w:spacing w:val="-5"/>
          <w:sz w:val="20"/>
        </w:rPr>
        <w:t> </w:t>
      </w:r>
      <w:r>
        <w:rPr>
          <w:color w:val="696969"/>
          <w:spacing w:val="-2"/>
          <w:sz w:val="20"/>
        </w:rPr>
        <w:t>de</w:t>
      </w:r>
      <w:r>
        <w:rPr>
          <w:color w:val="696969"/>
          <w:spacing w:val="-4"/>
          <w:sz w:val="20"/>
        </w:rPr>
        <w:t> </w:t>
      </w:r>
      <w:r>
        <w:rPr>
          <w:color w:val="696969"/>
          <w:spacing w:val="-2"/>
          <w:sz w:val="20"/>
        </w:rPr>
        <w:t>Gestión</w:t>
      </w:r>
    </w:p>
    <w:p>
      <w:pPr>
        <w:pStyle w:val="ListParagraph"/>
        <w:numPr>
          <w:ilvl w:val="0"/>
          <w:numId w:val="1"/>
        </w:numPr>
        <w:tabs>
          <w:tab w:pos="160" w:val="left" w:leader="none"/>
        </w:tabs>
        <w:spacing w:line="240" w:lineRule="auto" w:before="8" w:after="0"/>
        <w:ind w:left="160" w:right="0" w:hanging="123"/>
        <w:jc w:val="left"/>
        <w:rPr>
          <w:sz w:val="20"/>
        </w:rPr>
      </w:pPr>
      <w:r>
        <w:rPr>
          <w:color w:val="696969"/>
          <w:spacing w:val="-5"/>
          <w:sz w:val="20"/>
        </w:rPr>
        <w:t>Informes</w:t>
      </w:r>
      <w:r>
        <w:rPr>
          <w:color w:val="696969"/>
          <w:spacing w:val="-7"/>
          <w:sz w:val="20"/>
        </w:rPr>
        <w:t> </w:t>
      </w:r>
      <w:r>
        <w:rPr>
          <w:color w:val="696969"/>
          <w:spacing w:val="-2"/>
          <w:sz w:val="20"/>
        </w:rPr>
        <w:t>Financieros</w:t>
      </w:r>
    </w:p>
    <w:p>
      <w:pPr>
        <w:pStyle w:val="ListParagraph"/>
        <w:numPr>
          <w:ilvl w:val="0"/>
          <w:numId w:val="1"/>
        </w:numPr>
        <w:tabs>
          <w:tab w:pos="160" w:val="left" w:leader="none"/>
        </w:tabs>
        <w:spacing w:line="240" w:lineRule="auto" w:before="8" w:after="0"/>
        <w:ind w:left="160" w:right="0" w:hanging="123"/>
        <w:jc w:val="left"/>
        <w:rPr>
          <w:sz w:val="20"/>
        </w:rPr>
      </w:pPr>
      <w:r>
        <w:rPr>
          <w:color w:val="696969"/>
          <w:spacing w:val="-2"/>
          <w:sz w:val="20"/>
        </w:rPr>
        <w:t>Auditoría</w:t>
      </w:r>
    </w:p>
    <w:p>
      <w:pPr>
        <w:pStyle w:val="ListParagraph"/>
        <w:numPr>
          <w:ilvl w:val="0"/>
          <w:numId w:val="1"/>
        </w:numPr>
        <w:tabs>
          <w:tab w:pos="160" w:val="left" w:leader="none"/>
        </w:tabs>
        <w:spacing w:line="240" w:lineRule="auto" w:before="8" w:after="0"/>
        <w:ind w:left="160" w:right="0" w:hanging="123"/>
        <w:jc w:val="left"/>
        <w:rPr>
          <w:sz w:val="20"/>
        </w:rPr>
      </w:pPr>
      <w:r>
        <w:rPr>
          <w:color w:val="696969"/>
          <w:spacing w:val="-4"/>
          <w:sz w:val="20"/>
        </w:rPr>
        <w:t>Cuentas</w:t>
      </w:r>
      <w:r>
        <w:rPr>
          <w:color w:val="696969"/>
          <w:spacing w:val="-10"/>
          <w:sz w:val="20"/>
        </w:rPr>
        <w:t> </w:t>
      </w:r>
      <w:r>
        <w:rPr>
          <w:color w:val="696969"/>
          <w:spacing w:val="-4"/>
          <w:sz w:val="20"/>
        </w:rPr>
        <w:t>por</w:t>
      </w:r>
      <w:r>
        <w:rPr>
          <w:color w:val="696969"/>
          <w:spacing w:val="-10"/>
          <w:sz w:val="20"/>
        </w:rPr>
        <w:t> </w:t>
      </w:r>
      <w:r>
        <w:rPr>
          <w:color w:val="696969"/>
          <w:spacing w:val="-4"/>
          <w:sz w:val="20"/>
        </w:rPr>
        <w:t>Recibir</w:t>
      </w:r>
      <w:r>
        <w:rPr>
          <w:color w:val="696969"/>
          <w:spacing w:val="-10"/>
          <w:sz w:val="20"/>
        </w:rPr>
        <w:t> </w:t>
      </w:r>
      <w:r>
        <w:rPr>
          <w:color w:val="696969"/>
          <w:spacing w:val="-4"/>
          <w:sz w:val="20"/>
        </w:rPr>
        <w:t>/</w:t>
      </w:r>
      <w:r>
        <w:rPr>
          <w:color w:val="696969"/>
          <w:spacing w:val="-9"/>
          <w:sz w:val="20"/>
        </w:rPr>
        <w:t> </w:t>
      </w:r>
      <w:r>
        <w:rPr>
          <w:color w:val="696969"/>
          <w:spacing w:val="-4"/>
          <w:sz w:val="20"/>
        </w:rPr>
        <w:t>Cobrar</w:t>
      </w:r>
    </w:p>
    <w:sectPr>
      <w:type w:val="continuous"/>
      <w:pgSz w:w="11910" w:h="16850"/>
      <w:pgMar w:top="1000" w:bottom="280" w:left="1133" w:right="566"/>
      <w:cols w:num="3" w:equalWidth="0">
        <w:col w:w="2275" w:space="163"/>
        <w:col w:w="2233" w:space="1229"/>
        <w:col w:w="43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" w:hanging="125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696969"/>
        <w:spacing w:val="0"/>
        <w:w w:val="45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33" w:hanging="1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06" w:hanging="1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380" w:hanging="1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153" w:hanging="1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926" w:hanging="1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700" w:hanging="1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473" w:hanging="1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247" w:hanging="12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15"/>
      <w:ind w:left="57"/>
      <w:outlineLvl w:val="1"/>
    </w:pPr>
    <w:rPr>
      <w:rFonts w:ascii="Tahoma" w:hAnsi="Tahoma" w:eastAsia="Tahoma" w:cs="Tahoma"/>
      <w:b/>
      <w:bCs/>
      <w:sz w:val="64"/>
      <w:szCs w:val="6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132"/>
      <w:outlineLvl w:val="2"/>
    </w:pPr>
    <w:rPr>
      <w:rFonts w:ascii="Tahoma" w:hAnsi="Tahoma" w:eastAsia="Tahoma" w:cs="Tahoma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55"/>
      <w:ind w:left="57"/>
      <w:outlineLvl w:val="3"/>
    </w:pPr>
    <w:rPr>
      <w:rFonts w:ascii="Tahoma" w:hAnsi="Tahoma" w:eastAsia="Tahoma" w:cs="Tahom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8"/>
      <w:ind w:left="57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.napolitani@TechGuruPlus.es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TechGuruPlus.es/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2026-05-20T13:21:32Z</dcterms:created>
  <dcterms:modified xsi:type="dcterms:W3CDTF">2026-05-20T13:21:32Z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